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Pr>
          <w:rFonts w:ascii="Aptos" w:cs="Aptos" w:eastAsia="Aptos" w:hAnsi="Aptos"/>
          <w:b w:val="0"/>
          <w:bCs w:val="0"/>
          <w:i w:val="0"/>
          <w:iCs w:val="0"/>
          <w:smallCaps w:val="0"/>
          <w:strike w:val="0"/>
          <w:color w:val="000000"/>
          <w:sz w:val="24"/>
          <w:szCs w:val="24"/>
          <w:u w:val="none"/>
          <w:shd w:fill="auto" w:val="clear"/>
          <w:vertAlign w:val="baseline"/>
        </w:rPr>
        <w:drawing>
          <wp:inline distB="0" distT="0" distL="0" distR="0">
            <wp:extent cx="6038850" cy="5824008"/>
            <wp:effectExtent b="0" l="0" r="0" t="0"/>
            <wp:docPr descr="OpenAI_Photography_2026_04" id="1" name="image1.png"/>
            <a:graphic>
              <a:graphicData uri="http://schemas.openxmlformats.org/drawingml/2006/picture">
                <pic:pic>
                  <pic:nvPicPr>
                    <pic:cNvPr descr="OpenAI_Photography_2026_04" id="0" name="image1.png"/>
                    <pic:cNvPicPr preferRelativeResize="0"/>
                  </pic:nvPicPr>
                  <pic:blipFill>
                    <a:blip r:embed="rId7"/>
                    <a:srcRect b="1779" l="0" r="0" t="1779"/>
                    <a:stretch>
                      <a:fillRect/>
                    </a:stretch>
                  </pic:blipFill>
                  <pic:spPr>
                    <a:xfrm>
                      <a:off x="0" y="0"/>
                      <a:ext cx="6038850" cy="5824008"/>
                    </a:xfrm>
                    <a:prstGeom prst="rect"/>
                    <a:ln/>
                  </pic:spPr>
                </pic:pic>
              </a:graphicData>
            </a:graphic>
          </wp:inline>
        </w:drawing>
      </w:r>
      <w:r>
        <w:rPr>
          <w:rtl w:val="0"/>
        </w:rPr>
      </w:r>
    </w:p>
    <w:p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Pr>
          <w:rtl w:val="0"/>
        </w:rPr>
      </w:r>
    </w:p>
    <w:p w14:paraId="00000003">
      <w:pPr>
        <w:pStyle w:val="Title"/>
        <w:keepNext w:val="1"/>
        <w:spacing w:after="100" w:line="278.00000000000006" w:lineRule="auto"/>
        <w:rPr/>
      </w:pPr>
      <w:bookmarkStart w:colFirst="0" w:colLast="0" w:name="_heading=h.t76axsj6ui55" w:id="0"/>
      <w:bookmarkEnd w:id="0"/>
      <w:r>
        <w:rPr>
          <w:vertAlign w:val="baseline"/>
          <w:rtl w:val="0"/>
        </w:rPr>
        <w:t xml:space="preserve">WAHS and OpenClinAI</w:t>
      </w:r>
      <w:r>
        <w:rPr>
          <w:rtl w:val="0"/>
        </w:rPr>
      </w:r>
    </w:p>
    <w:tbl>
      <w:tblPr>
        <w:tblStyle w:val="Table1"/>
        <w:tblW w:w="9360.0" w:type="dxa"/>
        <w:jc w:val="left"/>
        <w:tblLayout w:type="fixed"/>
        <w:tblLook w:val="0600"/>
      </w:tblPr>
      <w:tblGrid>
        <w:gridCol w:w="4305"/>
        <w:gridCol w:w="901.6666666666654"/>
        <w:gridCol w:w="4153.333333333335"/>
        <w:tblGridChange w:id="0">
          <w:tblGrid>
            <w:gridCol w:w="4305"/>
            <w:gridCol w:w="901.6666666666654"/>
            <w:gridCol w:w="4153.333333333335"/>
          </w:tblGrid>
        </w:tblGridChange>
      </w:tblGrid>
      <w:tr>
        <w:trPr>
          <w:cantSplit w:val="1"/>
          <w:tblHeader w:val="0"/>
        </w:trPr>
        <w:tc>
          <w:tcPr>
            <w:tcMar>
              <w:top w:w="0.0" w:type="dxa"/>
              <w:left w:w="0.0" w:type="dxa"/>
              <w:bottom w:w="0.0" w:type="dxa"/>
              <w:right w:w="0.0" w:type="dxa"/>
            </w:tcMar>
          </w:tcPr>
          <w:p w14:paraId="00000004">
            <w:pPr>
              <w:spacing w:after="0" w:line="240" w:lineRule="auto"/>
              <w:rPr>
                <w:color w:val="666666"/>
              </w:rPr>
            </w:pPr>
            <w:r>
              <w:rPr>
                <w:color w:val="666666"/>
                <w:rtl w:val="0"/>
              </w:rPr>
              <w:t xml:space="preserve">Methods, shared tools and pilot ideas</w:t>
            </w:r>
          </w:p>
        </w:tc>
        <w:tc>
          <w:tcPr>
            <w:tcMar>
              <w:top w:w="0.0" w:type="dxa"/>
              <w:left w:w="0.0" w:type="dxa"/>
              <w:bottom w:w="0.0" w:type="dxa"/>
              <w:right w:w="0.0" w:type="dxa"/>
            </w:tcMar>
          </w:tcPr>
          <w:p w14:paraId="00000005">
            <w:pPr>
              <w:spacing w:after="0" w:line="240" w:lineRule="auto"/>
              <w:rPr>
                <w:color w:val="666666"/>
              </w:rPr>
            </w:pPr>
            <w:r>
              <w:rPr>
                <w:rtl w:val="0"/>
              </w:rPr>
            </w:r>
          </w:p>
        </w:tc>
        <w:tc>
          <w:tcPr>
            <w:tcMar>
              <w:top w:w="0.0" w:type="dxa"/>
              <w:left w:w="0.0" w:type="dxa"/>
              <w:bottom w:w="0.0" w:type="dxa"/>
              <w:right w:w="0.0" w:type="dxa"/>
            </w:tcMar>
          </w:tcPr>
          <w:p w14:paraId="00000006">
            <w:pPr>
              <w:spacing w:after="0" w:line="240" w:lineRule="auto"/>
              <w:rPr>
                <w:color w:val="666666"/>
              </w:rPr>
            </w:pPr>
            <w:r>
              <w:rPr>
                <w:color w:val="666666"/>
                <w:rtl w:val="0"/>
              </w:rPr>
              <w:t xml:space="preserve">Discussion report · Piotr Mańkowski · September 2026</w:t>
            </w:r>
          </w:p>
          <w:p w14:paraId="00000007">
            <w:pPr>
              <w:spacing w:after="0" w:line="240" w:lineRule="auto"/>
              <w:rPr>
                <w:color w:val="666666"/>
              </w:rPr>
            </w:pPr>
            <w:r>
              <w:rPr>
                <w:color w:val="666666"/>
                <w:rtl w:val="0"/>
              </w:rPr>
              <w:t xml:space="preserve"/>
            </w:r>
          </w:p>
        </w:tc>
      </w:tr>
    </w:tbl>
    <w:p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78.00000000000006" w:lineRule="auto"/>
        <w:ind w:left="0" w:right="0" w:firstLine="0"/>
        <w:jc w:val="left"/>
        <w:rPr>
          <w:rFonts w:ascii="Helvetica Neue" w:cs="Helvetica Neue" w:eastAsia="Helvetica Neue" w:hAnsi="Helvetica Neue"/>
          <w:b w:val="0"/>
          <w:bCs w:val="0"/>
          <w:i w:val="0"/>
          <w:iCs w:val="0"/>
          <w:smallCaps w:val="0"/>
          <w:strike w:val="0"/>
          <w:color w:val="7a7a7a"/>
          <w:sz w:val="18"/>
          <w:szCs w:val="18"/>
          <w:u w:val="none"/>
          <w:shd w:fill="auto" w:val="clear"/>
          <w:vertAlign w:val="baseline"/>
        </w:rPr>
        <w:sectPr>
          <w:footerReference r:id="rId8" w:type="default"/>
          <w:pgSz w:h="15840" w:w="12240" w:orient="portrait"/>
          <w:pgMar w:bottom="1440" w:top="1440" w:left="1440" w:right="1440" w:header="720" w:footer="720"/>
          <w:pgNumType w:start="1"/>
        </w:sectPr>
      </w:pPr>
      <w:r>
        <w:rPr>
          <w:rtl w:val="0"/>
        </w:rPr>
      </w:r>
    </w:p>
    <w:p w14:paraId="00000009">
      <w:pPr>
        <w:keepNext w:val="1"/>
        <w:keepLines w:val="0"/>
        <w:pageBreakBefore w:val="0"/>
        <w:widowControl w:val="1"/>
        <w:pBdr>
          <w:top w:space="0" w:sz="0" w:val="nil"/>
          <w:left w:space="0" w:sz="0" w:val="nil"/>
          <w:bottom w:space="0" w:sz="0" w:val="nil"/>
          <w:right w:space="0" w:sz="0" w:val="nil"/>
          <w:between w:space="0" w:sz="0" w:val="nil"/>
        </w:pBdr>
        <w:shd w:fill="auto" w:val="clear"/>
        <w:spacing w:after="360" w:before="360" w:line="278.00000000000006" w:lineRule="auto"/>
        <w:ind w:left="0" w:right="0" w:firstLine="0"/>
        <w:jc w:val="left"/>
        <w:rPr>
          <w:rFonts w:ascii="Helvetica Neue" w:cs="Helvetica Neue" w:eastAsia="Helvetica Neue" w:hAnsi="Helvetica Neue"/>
          <w:b w:val="0"/>
          <w:bCs w:val="0"/>
          <w:i w:val="0"/>
          <w:iCs w:val="0"/>
          <w:smallCaps w:val="0"/>
          <w:strike w:val="0"/>
          <w:color w:val="000000"/>
          <w:sz w:val="48"/>
          <w:szCs w:val="48"/>
          <w:u w:val="none"/>
          <w:shd w:fill="auto" w:val="clear"/>
          <w:vertAlign w:val="baseline"/>
        </w:rPr>
      </w:pPr>
      <w:r>
        <w:rPr>
          <w:rFonts w:ascii="Helvetica Neue" w:cs="Helvetica Neue" w:eastAsia="Helvetica Neue" w:hAnsi="Helvetica Neue"/>
          <w:b w:val="0"/>
          <w:bCs w:val="0"/>
          <w:i w:val="0"/>
          <w:iCs w:val="0"/>
          <w:smallCaps w:val="0"/>
          <w:strike w:val="0"/>
          <w:color w:val="000000"/>
          <w:sz w:val="48"/>
          <w:szCs w:val="48"/>
          <w:u w:val="none"/>
          <w:shd w:fill="auto" w:val="clear"/>
          <w:vertAlign w:val="baseline"/>
          <w:rtl w:val="0"/>
        </w:rPr>
        <w:t xml:space="preserve">Contents</w:t>
      </w:r>
    </w:p>
    <w:p w14:paraId="0000000A">
      <w:pPr>
        <w:keepNext w:val="1"/>
        <w:keepLines w:val="0"/>
        <w:pageBreakBefore w:val="0"/>
        <w:widowControl w:val="1"/>
        <w:pBdr>
          <w:top w:space="0" w:sz="0" w:val="nil"/>
          <w:left w:space="0" w:sz="0" w:val="nil"/>
          <w:bottom w:space="0" w:sz="0" w:val="nil"/>
          <w:right w:space="0" w:sz="0" w:val="nil"/>
          <w:between w:space="0" w:sz="0" w:val="nil"/>
        </w:pBdr>
        <w:shd w:fill="auto" w:val="clear"/>
        <w:spacing w:after="360" w:before="360" w:line="278.00000000000006" w:lineRule="auto"/>
        <w:ind w:left="0" w:right="0" w:firstLine="0"/>
        <w:jc w:val="left"/>
        <w:rPr>
          <w:sz w:val="48"/>
          <w:szCs w:val="48"/>
        </w:rPr>
      </w:pPr>
      <w:r>
        <w:rPr>
          <w:rtl w:val="0"/>
        </w:rPr>
      </w:r>
    </w:p>
    <w:sdt>
      <w:sdtPr>
        <w:id w:val="-2107746825"/>
        <w:docPartObj>
          <w:docPartGallery w:val="Table of Contents"/>
          <w:docPartUnique w:val="1"/>
        </w:docPartObj>
      </w:sdtPr>
      <w:sdtContent>
        <w:p w14:paraId="0000000B">
          <w:pPr>
            <w:widowControl w:val="0"/>
            <w:tabs>
              <w:tab w:val="right" w:leader="dot" w:pos="9360"/>
            </w:tabs>
            <w:spacing w:after="0" w:before="60" w:line="240" w:lineRule="auto"/>
            <w:rPr>
              <w:b w:val="1"/>
              <w:bCs w:val="1"/>
              <w:color w:val="000000"/>
              <w:u w:val="none"/>
            </w:rPr>
          </w:pPr>
          <w:r>
            <w:fldChar w:fldCharType="begin"/>
            <w:instrText xml:space="preserve"> TOC \h \u \z \t "Heading 1,1,Heading 2,2,Heading 3,3,Heading 4,4,Heading 5,5,Heading 6,6,"</w:instrText>
            <w:fldChar w:fldCharType="separate"/>
          </w: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Executive summary</w:t>
              <w:tab/>
              <w:t xml:space="preserve">2</w:t>
            </w:r>
          </w:hyperlink>
          <w:r>
            <w:rPr>
              <w:rtl w:val="0"/>
            </w:rPr>
          </w:r>
        </w:p>
        <w:p w14:paraId="0000000C">
          <w:pPr>
            <w:widowControl w:val="0"/>
            <w:tabs>
              <w:tab w:val="right" w:leader="dot" w:pos="9360"/>
            </w:tabs>
            <w:spacing w:after="0" w:before="60" w:line="240" w:lineRule="auto"/>
            <w:ind w:left="360" w:firstLine="0"/>
            <w:rPr>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At a glance</w:t>
              <w:tab/>
              <w:t xml:space="preserve">2</w:t>
            </w:r>
          </w:hyperlink>
          <w:r>
            <w:rPr>
              <w:rtl w:val="0"/>
            </w:rPr>
          </w:r>
        </w:p>
        <w:p w14:paraId="0000000D">
          <w:pPr>
            <w:widowControl w:val="0"/>
            <w:tabs>
              <w:tab w:val="right" w:leader="dot" w:pos="9360"/>
            </w:tabs>
            <w:spacing w:after="0" w:before="60" w:line="240" w:lineRule="auto"/>
            <w:ind w:left="360" w:firstLine="0"/>
            <w:rPr>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Introduction</w:t>
              <w:tab/>
              <w:t xml:space="preserve">2</w:t>
            </w:r>
          </w:hyperlink>
          <w:r>
            <w:rPr>
              <w:rtl w:val="0"/>
            </w:rPr>
          </w:r>
        </w:p>
        <w:p w14:paraId="0000000E">
          <w:pPr>
            <w:widowControl w:val="0"/>
            <w:tabs>
              <w:tab w:val="right" w:leader="dot" w:pos="9360"/>
            </w:tabs>
            <w:spacing w:after="0" w:before="60" w:line="240" w:lineRule="auto"/>
            <w:rPr>
              <w:b w:val="1"/>
              <w:bCs w:val="1"/>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Key findings</w:t>
              <w:tab/>
              <w:t xml:space="preserve">3</w:t>
            </w:r>
          </w:hyperlink>
          <w:r>
            <w:rPr>
              <w:rtl w:val="0"/>
            </w:rPr>
          </w:r>
        </w:p>
        <w:p w14:paraId="0000000F">
          <w:pPr>
            <w:widowControl w:val="0"/>
            <w:tabs>
              <w:tab w:val="right" w:leader="dot" w:pos="9360"/>
            </w:tabs>
            <w:spacing w:after="0" w:before="60" w:line="240" w:lineRule="auto"/>
            <w:ind w:left="360" w:firstLine="0"/>
            <w:rPr>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Context and conditions</w:t>
              <w:tab/>
              <w:t xml:space="preserve">3</w:t>
            </w:r>
          </w:hyperlink>
          <w:r>
            <w:rPr>
              <w:rtl w:val="0"/>
            </w:rPr>
          </w:r>
        </w:p>
        <w:p w14:paraId="00000010">
          <w:pPr>
            <w:widowControl w:val="0"/>
            <w:tabs>
              <w:tab w:val="right" w:leader="dot" w:pos="9360"/>
            </w:tabs>
            <w:spacing w:after="0" w:before="60" w:line="240" w:lineRule="auto"/>
            <w:ind w:left="360" w:firstLine="0"/>
            <w:rPr>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Patterns in the evidence</w:t>
              <w:tab/>
              <w:t xml:space="preserve">3</w:t>
            </w:r>
          </w:hyperlink>
          <w:r>
            <w:rPr>
              <w:rtl w:val="0"/>
            </w:rPr>
          </w:r>
        </w:p>
        <w:p w14:paraId="00000011">
          <w:pPr>
            <w:widowControl w:val="0"/>
            <w:tabs>
              <w:tab w:val="right" w:leader="dot" w:pos="9360"/>
            </w:tabs>
            <w:spacing w:after="0" w:before="60" w:line="240" w:lineRule="auto"/>
            <w:ind w:left="360" w:firstLine="0"/>
            <w:rPr>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Implications</w:t>
              <w:tab/>
              <w:t xml:space="preserve">3</w:t>
            </w:r>
          </w:hyperlink>
          <w:r>
            <w:rPr>
              <w:rtl w:val="0"/>
            </w:rPr>
          </w:r>
        </w:p>
        <w:p w14:paraId="00000012">
          <w:pPr>
            <w:widowControl w:val="0"/>
            <w:tabs>
              <w:tab w:val="right" w:leader="dot" w:pos="9360"/>
            </w:tabs>
            <w:spacing w:after="0" w:before="60" w:line="240" w:lineRule="auto"/>
            <w:rPr>
              <w:b w:val="1"/>
              <w:bCs w:val="1"/>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Recommendations</w:t>
              <w:tab/>
              <w:t xml:space="preserve">4</w:t>
            </w:r>
          </w:hyperlink>
          <w:r>
            <w:rPr>
              <w:rtl w:val="0"/>
            </w:rPr>
          </w:r>
        </w:p>
        <w:p w14:paraId="00000013">
          <w:pPr>
            <w:widowControl w:val="0"/>
            <w:tabs>
              <w:tab w:val="right" w:leader="dot" w:pos="9360"/>
            </w:tabs>
            <w:spacing w:after="0" w:before="60" w:line="240" w:lineRule="auto"/>
            <w:ind w:left="360" w:firstLine="0"/>
            <w:rPr>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Conclusion</w:t>
              <w:tab/>
              <w:t xml:space="preserve">4</w:t>
            </w:r>
          </w:hyperlink>
          <w:r>
            <w:rPr>
              <w:rtl w:val="0"/>
            </w:rPr>
          </w:r>
        </w:p>
        <w:p w14:paraId="00000014">
          <w:pPr>
            <w:widowControl w:val="0"/>
            <w:tabs>
              <w:tab w:val="right" w:leader="dot" w:pos="9360"/>
            </w:tabs>
            <w:spacing w:after="0" w:before="60" w:line="240" w:lineRule="auto"/>
            <w:rPr>
              <w:b w:val="1"/>
              <w:bCs w:val="1"/>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Appendix</w:t>
              <w:tab/>
              <w:t xml:space="preserve">5</w:t>
            </w:r>
          </w:hyperlink>
          <w:r>
            <w:rPr>
              <w:rtl w:val="0"/>
            </w:rPr>
          </w:r>
        </w:p>
        <w:p w14:paraId="00000015">
          <w:pPr>
            <w:widowControl w:val="0"/>
            <w:tabs>
              <w:tab w:val="right" w:leader="dot" w:pos="9360"/>
            </w:tabs>
            <w:spacing w:after="0" w:before="60" w:line="240" w:lineRule="auto"/>
            <w:ind w:left="360" w:firstLine="0"/>
            <w:rPr>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Notes</w:t>
              <w:tab/>
              <w:t xml:space="preserve">5</w:t>
            </w:r>
          </w:hyperlink>
          <w:r>
            <w:rPr>
              <w:rtl w:val="0"/>
            </w:rPr>
          </w:r>
        </w:p>
        <w:p w14:paraId="00000016">
          <w:pPr>
            <w:widowControl w:val="0"/>
            <w:tabs>
              <w:tab w:val="right" w:leader="dot" w:pos="9360"/>
            </w:tabs>
            <w:spacing w:after="0" w:before="60" w:line="240" w:lineRule="auto"/>
            <w:ind w:left="360" w:firstLine="0"/>
            <w:rPr>
              <w:color w:val="000000"/>
              <w:u w:val="none"/>
            </w:rPr>
          </w:pPr>
          <w:hyperlink w:anchor="_heading=">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Sources</w:t>
              <w:tab/>
              <w:t xml:space="preserve">5</w:t>
            </w:r>
          </w:hyperlink>
          <w:r>
            <w:rPr>
              <w:rtl w:val="0"/>
            </w:rPr>
          </w:r>
          <w:r>
            <w:fldChar w:fldCharType="end"/>
          </w:r>
        </w:p>
      </w:sdtContent>
    </w:sdt>
    <w:bookmarkStart w:colFirst="0" w:colLast="0" w:name="bookmark=id.i23wo83gyh7m" w:id="1"/>
    <w:bookmarkEnd w:id="1"/>
    <w:p w14:paraId="00000017">
      <w:pPr>
        <w:pStyle w:val="Heading1"/>
        <w:pageBreakBefore w:val="1"/>
        <w:rPr/>
      </w:pPr>
      <w:r>
        <w:rPr>
          <w:rtl w:val="0"/>
        </w:rPr>
        <w:t xml:space="preserve">Executive summary</w:t>
      </w:r>
    </w:p>
    <w:p w14:paraId="00000018">
      <w:pPr>
        <w:rPr/>
      </w:pPr>
      <w:r>
        <w:rPr>
          <w:rtl w:val="0"/>
        </w:rPr>
        <w:t xml:space="preserve">OpenClinAI can support WAHS at several levels: methods, review design, shared testing and selected code. The earliest value may come from showing original sources, checking disagreements and recording human decisions. No code reuse is required to apply those lessons.</w:t>
      </w:r>
    </w:p>
    <w:p w14:paraId="00000019">
      <w:pPr>
        <w:rPr/>
      </w:pPr>
      <w:r>
        <w:rPr>
          <w:rtl w:val="0"/>
        </w:rPr>
        <w:t xml:space="preserve">The lead pilot explores iterative AI-assisted conflict resolution. AI flags a difference and proposes a resolution; a person adds context, challenges assumptions and requests revisions before deciding. Search and AI history are supporting ideas. This is a short proposal for discussion, not a built pilot.</w:t>
      </w:r>
    </w:p>
    <w:bookmarkStart w:colFirst="0" w:colLast="0" w:name="bookmark=id.1sqjewf8afxt" w:id="2"/>
    <w:bookmarkEnd w:id="2"/>
    <w:p w14:paraId="0000001A">
      <w:pPr>
        <w:pStyle w:val="Heading2"/>
        <w:rPr/>
      </w:pPr>
      <w:r>
        <w:rPr>
          <w:rtl w:val="0"/>
        </w:rPr>
        <w:t xml:space="preserve">At a glance</w:t>
      </w:r>
    </w:p>
    <w:p w14:paraId="0000001B">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70"/>
        <w:jc w:val="left"/>
        <w:rPr/>
      </w:pPr>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Apply source-based review methods before choosing a software integration.</w:t>
      </w:r>
    </w:p>
    <w:p w14:paraId="0000001C">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70"/>
        <w:jc w:val="left"/>
        <w:rPr/>
      </w:pPr>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Adapt Catalyst’s iterative review approach to resolving record conflicts.</w:t>
      </w:r>
    </w:p>
    <w:p w14:paraId="0000001D">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70"/>
        <w:jc w:val="left"/>
        <w:rPr/>
      </w:pPr>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Explore a focused question with shared examples and optional testing tools.</w:t>
      </w:r>
    </w:p>
    <w:bookmarkStart w:colFirst="0" w:colLast="0" w:name="bookmark=id.4t4jj91ycfx" w:id="3"/>
    <w:bookmarkEnd w:id="3"/>
    <w:p w14:paraId="0000001E">
      <w:pPr>
        <w:pStyle w:val="Heading2"/>
        <w:rPr/>
      </w:pPr>
      <w:r>
        <w:rPr>
          <w:rtl w:val="0"/>
        </w:rPr>
        <w:t xml:space="preserve">Introduction</w:t>
      </w:r>
    </w:p>
    <w:p w14:paraId="0000001F">
      <w:pPr>
        <w:rPr/>
      </w:pPr>
      <w:r>
        <w:rPr>
          <w:rtl w:val="0"/>
        </w:rPr>
        <w:t xml:space="preserve">Updated WAHS notes cover conflicting records, sharing summaries, question-based search and AI attribution. They add record preparation, local models, shared computing and a later multilingual discussion. These are opportunities and open choices. [1]</w:t>
      </w:r>
    </w:p>
    <w:p w14:paraId="00000020">
      <w:pPr>
        <w:rPr/>
      </w:pPr>
      <w:r>
        <w:rPr>
          <w:rtl w:val="0"/>
        </w:rPr>
        <w:t xml:space="preserve">This report connects WAHS needs to reviewed OpenClinAI and QueryStore code and the research programme. The pilot remains a discussion proposal. WAHS implementation code and representative patient exports were not inspected.</w:t>
      </w:r>
    </w:p>
    <w:bookmarkStart w:colFirst="0" w:colLast="0" w:name="bookmark=id.xx7bxdemqiq" w:id="4"/>
    <w:bookmarkEnd w:id="4"/>
    <w:p w14:paraId="00000021">
      <w:pPr>
        <w:pStyle w:val="Heading1"/>
        <w:pageBreakBefore w:val="1"/>
        <w:rPr/>
      </w:pPr>
      <w:r>
        <w:rPr>
          <w:rtl w:val="0"/>
        </w:rPr>
        <w:t xml:space="preserve">Key findings</w:t>
      </w:r>
    </w:p>
    <w:p w14:paraId="00000022">
      <w:pPr>
        <w:rPr/>
      </w:pPr>
      <w:r>
        <w:rPr>
          <w:rtl w:val="0"/>
        </w:rPr>
        <w:t xml:space="preserve">ChartSearchAI links answers to records. The FHIR guide adds history of AI involvement, its extent and human participation. WAHS could produce that history with a summary or display it on incoming data, distinguishing a whole entry from one field. [2, 3]</w:t>
      </w:r>
    </w:p>
    <w:p w14:paraId="00000023">
      <w:pPr>
        <w:pStyle w:val="Heading2"/>
        <w:rPr/>
      </w:pPr>
      <w:r>
        <w:rPr>
          <w:rtl w:val="0"/>
        </w:rPr>
        <w:t xml:space="preserve">Context and conditions</w:t>
      </w:r>
    </w:p>
    <w:p w14:paraId="00000024">
      <w:pPr>
        <w:rPr/>
      </w:pPr>
      <w:r>
        <w:rPr>
          <w:rtl w:val="0"/>
        </w:rPr>
        <w:t xml:space="preserve">Prepare readable entries with names, values, units, dates and sources intact. Inspect actual case size before adding search. A few complete examples provide a useful comparison for finding out whether selected information hides a disagreement.</w:t>
      </w:r>
    </w:p>
    <w:p w14:paraId="00000025">
      <w:pPr>
        <w:pStyle w:val="Heading2"/>
        <w:rPr/>
      </w:pPr>
      <w:r>
        <w:rPr>
          <w:rtl w:val="0"/>
        </w:rPr>
        <w:t xml:space="preserve">Patterns in the evidence</w:t>
      </w:r>
    </w:p>
    <w:p w14:paraId="00000026">
      <w:pPr>
        <w:rPr/>
      </w:pPr>
      <w:r>
        <w:rPr>
          <w:rtl w:val="0"/>
        </w:rPr>
        <w:t xml:space="preserve">QueryStore preserves clinical text, metadata and source identities in a searchable copy. Reading originals can remain separate from saving draft resolutions and human decisions. Embedding models are configurable: the notes name E5; harness defaults name MiniLM. Confirm the active model.</w:t>
      </w:r>
    </w:p>
    <w:p w14:paraId="00000027">
      <w:pPr>
        <w:rPr/>
      </w:pPr>
      <w:r>
        <w:rPr>
          <w:rtl w:val="0"/>
        </w:rPr>
      </w:r>
    </w:p>
    <w:p w14:paraId="00000028">
      <w:pPr>
        <w:keepNext w:val="0"/>
        <w:keepLines w:val="1"/>
        <w:pageBreakBefore w:val="0"/>
        <w:widowControl w:val="1"/>
        <w:pBdr>
          <w:top w:space="0" w:sz="0" w:val="nil"/>
          <w:left w:color="595959" w:space="8" w:sz="16" w:val="single"/>
          <w:bottom w:space="0" w:sz="0" w:val="nil"/>
          <w:right w:space="0" w:sz="0" w:val="nil"/>
          <w:between w:space="0" w:sz="0" w:val="nil"/>
        </w:pBdr>
        <w:shd w:fill="f2f2f2" w:val="clear"/>
        <w:spacing w:after="200" w:before="160" w:line="269" w:lineRule="auto"/>
        <w:ind w:left="259" w:right="259" w:firstLine="0"/>
        <w:jc w:val="left"/>
        <w:rPr/>
      </w:pPr>
      <w:r>
        <w:rPr>
          <w:rFonts w:ascii="Helvetica Neue" w:cs="Helvetica Neue" w:eastAsia="Helvetica Neue" w:hAnsi="Helvetica Neue"/>
          <w:b w:val="1"/>
          <w:bCs w:val="1"/>
          <w:i w:val="0"/>
          <w:iCs w:val="0"/>
          <w:smallCaps w:val="0"/>
          <w:strike w:val="0"/>
          <w:color w:val="000000"/>
          <w:u w:val="none"/>
          <w:shd w:fill="auto" w:val="clear"/>
          <w:vertAlign w:val="baseline"/>
          <w:rtl w:val="0"/>
        </w:rPr>
        <w:t xml:space="preserve">Key takeaway. Source references, AI history and human review are separate facts. Neither a search result nor an AI label establishes correctness or completeness.</w:t>
      </w:r>
      <w:r>
        <w:rPr>
          <w:rFonts w:ascii="Helvetica Neue" w:cs="Helvetica Neue" w:eastAsia="Helvetica Neue" w:hAnsi="Helvetica Neue"/>
          <w:b w:val="0"/>
          <w:bCs w:val="0"/>
          <w:i w:val="0"/>
          <w:iCs w:val="0"/>
          <w:smallCaps w:val="0"/>
          <w:strike w:val="0"/>
          <w:color w:val="000000"/>
          <w:u w:val="none"/>
          <w:shd w:fill="auto" w:val="clear"/>
          <w:vertAlign w:val="baseline"/>
          <w:rtl w:val="0"/>
        </w:rPr>
        <w:t xml:space="preserve"/>
      </w:r>
      <w:r>
        <w:rPr>
          <w:rtl w:val="0"/>
        </w:rPr>
      </w:r>
    </w:p>
    <w:p w14:paraId="00000029">
      <w:pPr>
        <w:pStyle w:val="Heading2"/>
        <w:rPr/>
      </w:pPr>
      <w:r>
        <w:rPr>
          <w:rtl w:val="0"/>
        </w:rPr>
      </w:r>
    </w:p>
    <w:bookmarkStart w:colFirst="0" w:colLast="0" w:name="bookmark=id.suv0vlq0gz4r" w:id="5"/>
    <w:bookmarkEnd w:id="5"/>
    <w:p w14:paraId="0000002A">
      <w:pPr>
        <w:pStyle w:val="Heading2"/>
        <w:rPr/>
      </w:pPr>
      <w:r>
        <w:rPr>
          <w:rtl w:val="0"/>
        </w:rPr>
        <w:t xml:space="preserve">Implications</w:t>
      </w:r>
    </w:p>
    <w:p w14:paraId="0000002B">
      <w:pPr>
        <w:rPr/>
      </w:pPr>
      <w:r>
        <w:rPr>
          <w:rtl w:val="0"/>
        </w:rPr>
        <w:t xml:space="preserve">Methods and review design transfer immediately. Shared testing needs a small runner. Local hosting, model settings and any direct data connection need task-specific checks.</w:t>
      </w:r>
    </w:p>
    <w:tbl>
      <w:tblPr>
        <w:tblStyle w:val="Table2"/>
        <w:tblW w:w="9120.0" w:type="dxa"/>
        <w:jc w:val="left"/>
        <w:tblInd w:w="120.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Layout w:type="fixed"/>
        <w:tblLook w:val="0400"/>
      </w:tblPr>
      <w:tblGrid>
        <w:gridCol w:w="1800"/>
        <w:gridCol w:w="3300"/>
        <w:gridCol w:w="4020"/>
        <w:tblGridChange w:id="0">
          <w:tblGrid>
            <w:gridCol w:w="1800"/>
            <w:gridCol w:w="3300"/>
            <w:gridCol w:w="4020"/>
          </w:tblGrid>
        </w:tblGridChange>
      </w:tblGrid>
      <w:tr>
        <w:trPr>
          <w:cantSplit w:val="0"/>
          <w:tblHeader w:val="1"/>
        </w:trPr>
        <w:tc>
          <w:tcPr>
            <w:shd w:fill="f2f2f2" w:val="clear"/>
            <w:tcMar>
              <w:top w:w="110.0" w:type="dxa"/>
              <w:bottom w:w="110.0" w:type="dxa"/>
            </w:tcMar>
            <w:vAlign w:val="center"/>
          </w:tcPr>
          <w:p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1"/>
                <w:bCs w:val="1"/>
                <w:i w:val="0"/>
                <w:iCs w:val="0"/>
                <w:smallCaps w:val="0"/>
                <w:strike w:val="0"/>
                <w:color w:val="000000"/>
                <w:sz w:val="18"/>
                <w:szCs w:val="18"/>
                <w:u w:val="none"/>
                <w:shd w:fill="auto" w:val="clear"/>
                <w:vertAlign w:val="baseline"/>
                <w:rtl w:val="0"/>
              </w:rPr>
              <w:t xml:space="preserve">Level</w:t>
            </w:r>
            <w:r>
              <w:rPr>
                <w:rtl w:val="0"/>
              </w:rPr>
            </w:r>
          </w:p>
        </w:tc>
        <w:tc>
          <w:tcPr>
            <w:shd w:fill="f2f2f2" w:val="clear"/>
            <w:tcMar>
              <w:top w:w="110.0" w:type="dxa"/>
              <w:bottom w:w="110.0" w:type="dxa"/>
            </w:tcMar>
            <w:vAlign w:val="center"/>
          </w:tcPr>
          <w:p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1"/>
                <w:bCs w:val="1"/>
                <w:i w:val="0"/>
                <w:iCs w:val="0"/>
                <w:smallCaps w:val="0"/>
                <w:strike w:val="0"/>
                <w:color w:val="000000"/>
                <w:sz w:val="18"/>
                <w:szCs w:val="18"/>
                <w:u w:val="none"/>
                <w:shd w:fill="auto" w:val="clear"/>
                <w:vertAlign w:val="baseline"/>
                <w:rtl w:val="0"/>
              </w:rPr>
              <w:t xml:space="preserve">Existing foundation</w:t>
            </w:r>
            <w:r>
              <w:rPr>
                <w:rtl w:val="0"/>
              </w:rPr>
            </w:r>
          </w:p>
        </w:tc>
        <w:tc>
          <w:tcPr>
            <w:shd w:fill="f2f2f2" w:val="clear"/>
            <w:tcMar>
              <w:top w:w="110.0" w:type="dxa"/>
              <w:bottom w:w="110.0" w:type="dxa"/>
            </w:tcMar>
            <w:vAlign w:val="center"/>
          </w:tcPr>
          <w:p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1"/>
                <w:bCs w:val="1"/>
                <w:i w:val="0"/>
                <w:iCs w:val="0"/>
                <w:smallCaps w:val="0"/>
                <w:strike w:val="0"/>
                <w:color w:val="000000"/>
                <w:sz w:val="18"/>
                <w:szCs w:val="18"/>
                <w:u w:val="none"/>
                <w:shd w:fill="auto" w:val="clear"/>
                <w:vertAlign w:val="baseline"/>
                <w:rtl w:val="0"/>
              </w:rPr>
              <w:t xml:space="preserve">Possible WAHS use</w:t>
            </w:r>
            <w:r>
              <w:rPr>
                <w:rtl w:val="0"/>
              </w:rPr>
            </w:r>
          </w:p>
        </w:tc>
      </w:tr>
      <w:tr>
        <w:trPr>
          <w:cantSplit w:val="0"/>
          <w:tblHeader w:val="0"/>
        </w:trPr>
        <w:tc>
          <w:tcPr>
            <w:shd w:fill="ffffff" w:val="clear"/>
            <w:tcMar>
              <w:top w:w="110.0" w:type="dxa"/>
              <w:bottom w:w="110.0" w:type="dxa"/>
            </w:tcMar>
            <w:vAlign w:val="center"/>
          </w:tcPr>
          <w:p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Methods</w:t>
            </w:r>
          </w:p>
        </w:tc>
        <w:tc>
          <w:tcPr>
            <w:shd w:fill="ffffff" w:val="clear"/>
            <w:tcMar>
              <w:top w:w="110.0" w:type="dxa"/>
              <w:bottom w:w="110.0" w:type="dxa"/>
            </w:tcMar>
            <w:vAlign w:val="center"/>
          </w:tcPr>
          <w:p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Source-based review</w:t>
            </w:r>
          </w:p>
        </w:tc>
        <w:tc>
          <w:tcPr>
            <w:shd w:fill="ffffff" w:val="clear"/>
            <w:tcMar>
              <w:top w:w="110.0" w:type="dxa"/>
              <w:bottom w:w="110.0" w:type="dxa"/>
            </w:tcMar>
            <w:vAlign w:val="center"/>
          </w:tcPr>
          <w:p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Review examples together</w:t>
            </w:r>
          </w:p>
        </w:tc>
      </w:tr>
      <w:tr>
        <w:trPr>
          <w:cantSplit w:val="0"/>
          <w:tblHeader w:val="0"/>
        </w:trPr>
        <w:tc>
          <w:tcPr>
            <w:shd w:fill="ffffff" w:val="clear"/>
            <w:tcMar>
              <w:top w:w="110.0" w:type="dxa"/>
              <w:bottom w:w="110.0" w:type="dxa"/>
            </w:tcMar>
            <w:vAlign w:val="center"/>
          </w:tcPr>
          <w:p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Design</w:t>
            </w:r>
          </w:p>
        </w:tc>
        <w:tc>
          <w:tcPr>
            <w:shd w:fill="ffffff" w:val="clear"/>
            <w:tcMar>
              <w:top w:w="110.0" w:type="dxa"/>
              <w:bottom w:w="110.0" w:type="dxa"/>
            </w:tcMar>
            <w:vAlign w:val="center"/>
          </w:tcPr>
          <w:p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Inspect before action</w:t>
            </w:r>
          </w:p>
        </w:tc>
        <w:tc>
          <w:tcPr>
            <w:shd w:fill="ffffff" w:val="clear"/>
            <w:tcMar>
              <w:top w:w="110.0" w:type="dxa"/>
              <w:bottom w:w="110.0" w:type="dxa"/>
            </w:tcMar>
            <w:vAlign w:val="center"/>
          </w:tcPr>
          <w:p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Patient decision workflow</w:t>
            </w:r>
          </w:p>
        </w:tc>
      </w:tr>
      <w:tr>
        <w:trPr>
          <w:cantSplit w:val="0"/>
          <w:tblHeader w:val="0"/>
        </w:trPr>
        <w:tc>
          <w:tcPr>
            <w:shd w:fill="ffffff" w:val="clear"/>
            <w:tcMar>
              <w:top w:w="110.0" w:type="dxa"/>
              <w:bottom w:w="110.0" w:type="dxa"/>
            </w:tcMar>
            <w:vAlign w:val="center"/>
          </w:tcPr>
          <w:p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Tools</w:t>
            </w:r>
          </w:p>
        </w:tc>
        <w:tc>
          <w:tcPr>
            <w:shd w:fill="ffffff" w:val="clear"/>
            <w:tcMar>
              <w:top w:w="110.0" w:type="dxa"/>
              <w:bottom w:w="110.0" w:type="dxa"/>
            </w:tcMar>
            <w:vAlign w:val="center"/>
          </w:tcPr>
          <w:p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QueryStore, Hub and harness</w:t>
            </w:r>
          </w:p>
        </w:tc>
        <w:tc>
          <w:tcPr>
            <w:shd w:fill="ffffff" w:val="clear"/>
            <w:tcMar>
              <w:top w:w="110.0" w:type="dxa"/>
              <w:bottom w:w="110.0" w:type="dxa"/>
            </w:tcMar>
            <w:vAlign w:val="center"/>
          </w:tcPr>
          <w:p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Iterative review pilot</w:t>
            </w:r>
          </w:p>
        </w:tc>
      </w:tr>
    </w:tbl>
    <w:bookmarkStart w:colFirst="0" w:colLast="0" w:name="bookmark=id.vvr4bduzzdc0" w:id="6"/>
    <w:bookmarkEnd w:id="6"/>
    <w:p w14:paraId="00000038">
      <w:pPr>
        <w:pStyle w:val="Heading1"/>
        <w:pageBreakBefore w:val="1"/>
        <w:rPr/>
      </w:pPr>
      <w:r>
        <w:rPr>
          <w:rtl w:val="0"/>
        </w:rPr>
        <w:t xml:space="preserve">Recommendations</w:t>
      </w:r>
    </w:p>
    <w:p w14:paraId="00000039">
      <w:pPr>
        <w:rPr/>
      </w:pPr>
      <w:r>
        <w:rPr>
          <w:rtl w:val="0"/>
        </w:rPr>
        <w:t xml:space="preserve">The lead abstract explores flagging and resolving conflicts through repeated AI and human input. Begin with a few fictional examples. Search and AI history offer two supporting angles; practical scope remains for discussion with WAHS.</w:t>
      </w:r>
    </w:p>
    <w:p w14:paraId="0000003A">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180" w:before="0" w:line="276" w:lineRule="auto"/>
        <w:ind w:left="540" w:right="0" w:hanging="270"/>
        <w:jc w:val="left"/>
        <w:rPr/>
      </w:pPr>
      <w:r>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Flag and resolve conflicts together. AI shows a possible conflict and its sources. A person adds context; AI proposes and revises a resolution. The person accepts, edits, rejects or leaves it unresolved. Preserve originals and record the reasoning. Study whether revisions improve resolutions and respect human corrections.</w:t>
      </w:r>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r>
    </w:p>
    <w:p w14:paraId="0000003B">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180" w:before="0" w:line="276" w:lineRule="auto"/>
        <w:ind w:left="540" w:right="0" w:hanging="270"/>
        <w:jc w:val="left"/>
        <w:rPr/>
      </w:pPr>
      <w:r>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Supporting idea: find records behind answers. Open the entries supporting a suggestion and inspect what search leaves out. Apply ChartSearchAI and QueryStore experience, with optional shared evaluation tools.</w:t>
      </w:r>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r>
    </w:p>
    <w:p w14:paraId="0000003C">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180" w:before="0" w:line="276" w:lineRule="auto"/>
        <w:ind w:left="540" w:right="0" w:hanging="270"/>
        <w:jc w:val="left"/>
        <w:rPr/>
      </w:pPr>
      <w:r>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Supporting idea: display AI history. Show AI involvement, its extent and human review. Distinguish whole-entry and field labels. Explore whether readers understand that history without inspecting raw data.</w:t>
      </w:r>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r>
    </w:p>
    <w:bookmarkStart w:colFirst="0" w:colLast="0" w:name="bookmark=id.rl3o3rp5qmnq" w:id="7"/>
    <w:bookmarkEnd w:id="7"/>
    <w:p w14:paraId="0000003D">
      <w:pPr>
        <w:pStyle w:val="Heading2"/>
        <w:rPr/>
      </w:pPr>
      <w:r>
        <w:rPr>
          <w:rtl w:val="0"/>
        </w:rPr>
        <w:t xml:space="preserve">Conclusion</w:t>
      </w:r>
    </w:p>
    <w:p w14:paraId="0000003E">
      <w:pPr>
        <w:rPr/>
      </w:pPr>
      <w:r>
        <w:rPr>
          <w:rtl w:val="0"/>
        </w:rPr>
        <w:t xml:space="preserve">The pilot could study how human input changes successive proposals, when AI resolves or introduces a disagreement, and whether rejected suggestions reappear. Our methods transfer even when the pilot uses no OpenClinAI code. Agree implementation after reviewing the abstract with WAHS.</w:t>
      </w:r>
    </w:p>
    <w:p w14:paraId="0000003F">
      <w:pPr>
        <w:rPr/>
      </w:pPr>
      <w:r>
        <w:rPr>
          <w:rtl w:val="0"/>
        </w:rPr>
        <w:t xml:space="preserve">The dissertation focuses on WHO SMART Guidelines for HIV care. WAHS offers another setting for its methods. A study needs its own questions and comparison design. Local computing and multilingual work can follow the chosen question. [4]</w:t>
      </w:r>
    </w:p>
    <w:bookmarkStart w:colFirst="0" w:colLast="0" w:name="bookmark=id.cf45595vup8a" w:id="8"/>
    <w:bookmarkEnd w:id="8"/>
    <w:p w14:paraId="00000040">
      <w:pPr>
        <w:pStyle w:val="Heading1"/>
        <w:pageBreakBefore w:val="1"/>
        <w:rPr/>
      </w:pPr>
      <w:r>
        <w:rPr>
          <w:rtl w:val="0"/>
        </w:rPr>
        <w:t xml:space="preserve">Appendix</w:t>
      </w:r>
    </w:p>
    <w:bookmarkStart w:colFirst="0" w:colLast="0" w:name="bookmark=id.ptrg31dozyqs" w:id="9"/>
    <w:bookmarkEnd w:id="9"/>
    <w:p w14:paraId="00000041">
      <w:pPr>
        <w:pStyle w:val="Heading2"/>
        <w:rPr/>
      </w:pPr>
      <w:r>
        <w:rPr>
          <w:rtl w:val="0"/>
        </w:rPr>
        <w:t xml:space="preserve">Notes</w:t>
      </w:r>
    </w:p>
    <w:p w14:paraId="00000042">
      <w:pPr>
        <w:rPr/>
      </w:pPr>
      <w:r>
        <w:rPr>
          <w:rtl w:val="0"/>
        </w:rPr>
        <w:t xml:space="preserve">Reviewed sources include the meeting, transcript, updated notes, selected code revisions and research plans. Reported GPU provisioning and deployment accounts were not independently verified. Connectathon criteria came from the supplied excerpt.</w:t>
      </w:r>
    </w:p>
    <w:p w14:paraId="00000043">
      <w:pPr>
        <w:rPr/>
      </w:pPr>
      <w:r>
        <w:rPr>
          <w:rtl w:val="0"/>
        </w:rPr>
        <w:t xml:space="preserve">The browser report includes expandable search, model and computing sources. E5 is documented for English; multilingual use needs testing. Catalyst’s roadmap defines generic SQL; the public site also presents a newer FHIR and Spark demonstration. Its deployed revision was not matched here. [2, 5]</w:t>
      </w:r>
    </w:p>
    <w:bookmarkStart w:colFirst="0" w:colLast="0" w:name="bookmark=id.nnk1eebni0ji" w:id="10"/>
    <w:bookmarkEnd w:id="10"/>
    <w:p w14:paraId="00000044">
      <w:pPr>
        <w:pStyle w:val="Heading2"/>
        <w:rPr/>
      </w:pPr>
      <w:r>
        <w:rPr>
          <w:rtl w:val="0"/>
        </w:rPr>
        <w:t xml:space="preserve">Sources</w:t>
      </w:r>
    </w:p>
    <w:p w14:paraId="00000045">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70"/>
        <w:jc w:val="left"/>
        <w:rPr/>
      </w:pPr>
      <w:hyperlink r:id="rIdWahs63">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[1] WAHS. EHI meeting notes, version 5, updated 1 September 2026; transcript and updated discussion notes supplied 9 September.</w:t>
        </w:r>
      </w:hyperlink>
    </w:p>
    <w:p w14:paraId="00000046">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70"/>
        <w:jc w:val="left"/>
        <w:rPr/>
      </w:pPr>
      <w:hyperlink r:id="rIdWahs64">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[2] OpenClinAI. Hub source at 939720e, QueryStore at 8dc6ef9; harness metadata and Catalyst roadmap at 4053352.</w:t>
        </w:r>
      </w:hyperlink>
    </w:p>
    <w:p w14:paraId="00000047">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70"/>
        <w:jc w:val="left"/>
        <w:rPr/>
      </w:pPr>
      <w:hyperlink r:id="rIdWahs65">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[3] HL7. AI Transparency on FHIR current branch, AI Provenance profile and FHIR R4 document rules. Accessed 9 September 2026.</w:t>
        </w:r>
      </w:hyperlink>
    </w:p>
    <w:p w14:paraId="00000048">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70"/>
        <w:jc w:val="left"/>
        <w:rPr/>
      </w:pPr>
      <w:hyperlink r:id="rIdWahs66">
        <w:r>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[4] Mańkowski. Dissertation scope, paper plan and draft preregistration; research sitrep, 6 September 2026. digging-in-research.</w:t>
        </w:r>
      </w:hyperlink>
    </w:p>
    <w:p w14:paraId="00000049">
      <w:pPr>
        <w:keepNext w:val="0"/>
        <w:keepLines w:val="1"/>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pPr>
      <w:r>
        <w:rPr>
          <w:rtl w:val="0"/>
        </w:rPr>
      </w:r>
    </w:p>
    <w:p w14:paraId="0000004A">
      <w:pPr>
        <w:keepNext w:val="0"/>
        <w:keepLines w:val="1"/>
        <w:pageBreakBefore w:val="0"/>
        <w:widowControl w:val="1"/>
        <w:pBdr>
          <w:top w:space="0" w:sz="0" w:val="nil"/>
          <w:left w:color="595959" w:space="8" w:sz="16" w:val="single"/>
          <w:bottom w:space="0" w:sz="0" w:val="nil"/>
          <w:right w:space="0" w:sz="0" w:val="nil"/>
          <w:between w:space="0" w:sz="0" w:val="nil"/>
        </w:pBdr>
        <w:shd w:fill="f2f2f2" w:val="clear"/>
        <w:spacing w:after="200" w:before="160" w:line="269" w:lineRule="auto"/>
        <w:ind w:left="259" w:right="259" w:firstLine="0"/>
        <w:jc w:val="left"/>
        <w:rPr>
          <w:rFonts w:ascii="Helvetica Neue" w:cs="Helvetica Neue" w:eastAsia="Helvetica Neue" w:hAnsi="Helvetica Neue"/>
          <w:b w:val="0"/>
          <w:bCs w:val="0"/>
          <w:i w:val="0"/>
          <w:iCs w:val="0"/>
          <w:smallCaps w:val="0"/>
          <w:strike w:val="0"/>
          <w:color w:val="000000"/>
          <w:u w:val="none"/>
          <w:shd w:fill="auto" w:val="clear"/>
          <w:vertAlign w:val="baseline"/>
        </w:rPr>
      </w:pPr>
      <w:hyperlink r:id="rIdWahs68">
        <w:r>
          <w:rPr>
            <w:rFonts w:ascii="Helvetica Neue" w:cs="Helvetica Neue" w:eastAsia="Helvetica Neue" w:hAnsi="Helvetica Neue"/>
            <w:b w:val="1"/>
            <w:bCs w:val="1"/>
            <w:i w:val="0"/>
            <w:iCs w:val="0"/>
            <w:smallCaps w:val="0"/>
            <w:strike w:val="0"/>
            <w:color w:val="000000"/>
            <w:u w:val="none"/>
            <w:shd w:fill="auto" w:val="clear"/>
            <w:vertAlign w:val="baseline"/>
            <w:rtl w:val="0"/>
          </w:rPr>
          <w:t xml:space="preserve">[5] Model, computing and design sources: E5 model card, NVIDIA H200 profiles, NN/g, Microsoft HAX, USWDS and W3C. Full evidence and links: wahs.openclinai.org.</w:t>
        </w:r>
        <w:r>
          <w:rPr>
            <w:rFonts w:ascii="Helvetica Neue" w:cs="Helvetica Neue" w:eastAsia="Helvetica Neue" w:hAnsi="Helvetica Neue"/>
            <w:b w:val="0"/>
            <w:bCs w:val="0"/>
            <w:i w:val="0"/>
            <w:iCs w:val="0"/>
            <w:smallCaps w:val="0"/>
            <w:strike w:val="0"/>
            <w:color w:val="000000"/>
            <w:u w:val="none"/>
            <w:shd w:fill="auto" w:val="clear"/>
            <w:vertAlign w:val="baseline"/>
            <w:rtl w:val="0"/>
          </w:rPr>
          <w:t xml:space="preserve"/>
        </w:r>
      </w:hyperlink>
    </w:p>
    <w:sectPr>
      <w:headerReference r:id="rId9" w:type="default"/>
      <w:footerReference r:id="rId10" w:type="default"/>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right"/>
      <w:rPr>
        <w:rFonts w:ascii="Helvetica Neue" w:cs="Helvetica Neue" w:eastAsia="Helvetica Neue" w:hAnsi="Helvetica Neue"/>
        <w:b w:val="0"/>
        <w:bCs w:val="0"/>
        <w:i w:val="0"/>
        <w:iCs w:val="0"/>
        <w:smallCaps w:val="0"/>
        <w:strike w:val="0"/>
        <w:color w:val="7a7a7a"/>
        <w:sz w:val="18"/>
        <w:szCs w:val="18"/>
        <w:u w:val="none"/>
        <w:shd w:fill="auto" w:val="clear"/>
        <w:vertAlign w:val="baseline"/>
      </w:rPr>
    </w:pPr>
    <w:r>
      <w:rPr>
        <w:rFonts w:ascii="Helvetica Neue" w:cs="Helvetica Neue" w:eastAsia="Helvetica Neue" w:hAnsi="Helvetica Neue"/>
        <w:b w:val="0"/>
        <w:bCs w:val="0"/>
        <w:i w:val="0"/>
        <w:iCs w:val="0"/>
        <w:smallCaps w:val="0"/>
        <w:strike w:val="0"/>
        <w:color w:val="7a7a7a"/>
        <w:sz w:val="18"/>
        <w:szCs w:val="18"/>
        <w:u w:val="none"/>
        <w:shd w:fill="auto" w:val="clear"/>
        <w:vertAlign w:val="baseline"/>
      </w:rPr>
      <w:fldChar w:fldCharType="begin"/>
      <w:instrText xml:space="preserve">PAGE</w:instrText>
      <w:fldChar w:fldCharType="separate"/>
      <w:fldChar w:fldCharType="end"/>
    </w:r>
    <w:r>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14:paraId="00000051">
    <w:pPr>
      <w:rPr/>
    </w:pPr>
    <w:r>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14:paraId="0000004B">
    <w:pPr>
      <w:keepNext w:val="0"/>
      <w:keepLines w:val="0"/>
      <w:pageBreakBefore w:val="0"/>
      <w:widowControl w:val="1"/>
      <w:pBdr>
        <w:top w:space="0" w:sz="0" w:val="nil"/>
        <w:left w:space="0" w:sz="0" w:val="nil"/>
        <w:bottom w:color="d9d9d9" w:space="5" w:sz="4" w:val="single"/>
        <w:right w:space="0" w:sz="0" w:val="nil"/>
        <w:between w:space="0" w:sz="0" w:val="nil"/>
      </w:pBdr>
      <w:shd w:fill="auto" w:val="clear"/>
      <w:spacing w:after="80" w:before="0" w:line="278.00000000000006" w:lineRule="auto"/>
      <w:ind w:left="0" w:right="0" w:firstLine="0"/>
      <w:jc w:val="left"/>
      <w:rPr>
        <w:color w:val="7a7a7a"/>
        <w:sz w:val="17"/>
        <w:szCs w:val="17"/>
      </w:rPr>
    </w:pPr>
    <w:r>
      <w:rPr>
        <w:rtl w:val="0"/>
      </w:rPr>
    </w:r>
  </w:p>
  <w:sdt>
    <w:sdtPr>
      <w:lock w:val="contentLocked"/>
      <w:id w:val="2109222018"/>
      <w:tag w:val="goog_rdk_0"/>
    </w:sdtPr>
    <w:sdtContent>
      <w:tbl>
        <w:tblPr>
          <w:tblStyle w:val="Table3"/>
          <w:tblW w:w="9360.0" w:type="dxa"/>
          <w:jc w:val="left"/>
          <w:tblLayout w:type="fixed"/>
          <w:tblLook w:val="0600"/>
        </w:tblPr>
        <w:tblGrid>
          <w:gridCol w:w="4680"/>
          <w:gridCol w:w="4680"/>
          <w:tblGridChange w:id="0">
            <w:tblGrid>
              <w:gridCol w:w="4680"/>
              <w:gridCol w:w="4680"/>
            </w:tblGrid>
          </w:tblGridChange>
        </w:tblGrid>
        <w:tr>
          <w:trPr>
            <w:cantSplit w:val="1"/>
            <w:trHeight w:val="325.74149576822384" w:hRule="atLeast"/>
            <w:tblHeader w:val="0"/>
          </w:trPr>
          <w:tc>
            <w:tcPr>
              <w:shd w:fill="auto" w:val="clear"/>
              <w:tcMar>
                <w:top w:w="0.0" w:type="dxa"/>
                <w:left w:w="0.0" w:type="dxa"/>
                <w:bottom w:w="0.0" w:type="dxa"/>
                <w:right w:w="0.0" w:type="dxa"/>
              </w:tcMar>
              <w:vAlign w:val="top"/>
            </w:tcPr>
            <w:p w14:paraId="0000004C">
              <w:pPr>
                <w:pBdr>
                  <w:top w:space="0" w:sz="0" w:val="nil"/>
                  <w:left w:space="0" w:sz="0" w:val="nil"/>
                  <w:bottom w:space="0" w:sz="0" w:val="nil"/>
                  <w:right w:space="0" w:sz="0" w:val="nil"/>
                  <w:between w:space="0" w:sz="0" w:val="nil"/>
                </w:pBdr>
                <w:shd w:fill="auto" w:val="clear"/>
                <w:spacing w:after="80" w:line="278.00000000000006" w:lineRule="auto"/>
                <w:rPr>
                  <w:color w:val="7a7a7a"/>
                  <w:sz w:val="17"/>
                  <w:szCs w:val="17"/>
                </w:rPr>
              </w:pPr>
              <w:r>
                <w:rPr>
                  <w:color w:val="7a7a7a"/>
                  <w:sz w:val="17"/>
                  <w:szCs w:val="17"/>
                  <w:rtl w:val="0"/>
                </w:rPr>
                <w:t xml:space="preserve">WAHS and OpenClinAI</w:t>
              </w:r>
            </w:p>
            <w:p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7a7a7a"/>
                  <w:sz w:val="17"/>
                  <w:szCs w:val="17"/>
                </w:rPr>
              </w:pPr>
              <w:r>
                <w:rPr>
                  <w:rtl w:val="0"/>
                </w:rPr>
              </w:r>
            </w:p>
          </w:tc>
          <w:tc>
            <w:tcPr>
              <w:shd w:fill="auto" w:val="clear"/>
              <w:tcMar>
                <w:top w:w="0.0" w:type="dxa"/>
                <w:left w:w="0.0" w:type="dxa"/>
                <w:bottom w:w="0.0" w:type="dxa"/>
                <w:right w:w="0.0" w:type="dxa"/>
              </w:tcMar>
              <w:vAlign w:val="top"/>
            </w:tcPr>
            <w:p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color w:val="7a7a7a"/>
                  <w:sz w:val="17"/>
                  <w:szCs w:val="17"/>
                </w:rPr>
              </w:pPr>
              <w:r>
                <w:rPr>
                  <w:color w:val="7a7a7a"/>
                  <w:sz w:val="17"/>
                  <w:szCs w:val="17"/>
                  <w:rtl w:val="0"/>
                </w:rPr>
                <w:t xml:space="preserve">September 2026</w:t>
              </w:r>
            </w:p>
          </w:tc>
        </w:tr>
      </w:tbl>
    </w:sdtContent>
  </w:sdt>
  <w:p w14:paraId="0000004F">
    <w:pPr>
      <w:rPr/>
    </w:pP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40" w:hanging="270"/>
      </w:pPr>
      <w:rPr>
        <w:rFonts w:ascii="Helvetica Neue" w:cs="Helvetica Neue" w:eastAsia="Helvetica Neue" w:hAnsi="Helvetica Neu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540" w:hanging="270"/>
      </w:pPr>
      <w:rPr>
        <w:rFonts w:ascii="Helvetica Neue" w:cs="Helvetica Neue" w:eastAsia="Helvetica Neue" w:hAnsi="Helvetica Neu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updateFields w:val="true"/>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2"/>
        <w:szCs w:val="22"/>
        <w:lang w:val="en"/>
      </w:rPr>
    </w:rPrDefault>
    <w:pPrDefault>
      <w:pPr>
        <w:spacing w:after="12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00" w:before="360" w:lineRule="auto"/>
    </w:pPr>
    <w:rPr>
      <w:rFonts w:ascii="Helvetica Neue" w:cs="Helvetica Neue" w:eastAsia="Helvetica Neue" w:hAnsi="Helvetica Neue"/>
      <w:b w:val="0"/>
      <w:bCs w:val="0"/>
      <w:color w:val="000000"/>
      <w:sz w:val="48"/>
      <w:szCs w:val="48"/>
    </w:rPr>
  </w:style>
  <w:style w:type="paragraph" w:styleId="Heading2">
    <w:name w:val="heading 2"/>
    <w:basedOn w:val="Normal"/>
    <w:next w:val="Normal"/>
    <w:pPr>
      <w:keepNext w:val="1"/>
      <w:keepLines w:val="1"/>
      <w:spacing w:after="120" w:before="280" w:lineRule="auto"/>
    </w:pPr>
    <w:rPr>
      <w:rFonts w:ascii="Helvetica Neue" w:cs="Helvetica Neue" w:eastAsia="Helvetica Neue" w:hAnsi="Helvetica Neue"/>
      <w:b w:val="0"/>
      <w:bCs w:val="0"/>
      <w:color w:val="000000"/>
      <w:sz w:val="30"/>
      <w:szCs w:val="30"/>
    </w:rPr>
  </w:style>
  <w:style w:type="paragraph" w:styleId="Heading3">
    <w:name w:val="heading 3"/>
    <w:basedOn w:val="Normal"/>
    <w:next w:val="Normal"/>
    <w:pPr>
      <w:keepNext w:val="1"/>
      <w:keepLines w:val="1"/>
      <w:spacing w:after="80" w:before="200" w:lineRule="auto"/>
    </w:pPr>
    <w:rPr>
      <w:rFonts w:ascii="Helvetica Neue" w:cs="Helvetica Neue" w:eastAsia="Helvetica Neue" w:hAnsi="Helvetica Neue"/>
      <w:b w:val="1"/>
      <w:bCs w:val="1"/>
      <w:color w:val="000000"/>
      <w:sz w:val="24"/>
      <w:szCs w:val="24"/>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100" w:line="278.00000000000006" w:lineRule="auto"/>
    </w:pPr>
    <w:rPr>
      <w:b w:val="1"/>
      <w:bCs w:val="1"/>
      <w:sz w:val="80"/>
      <w:szCs w:val="80"/>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7" Type="http://schemas.openxmlformats.org/officeDocument/2006/relationships/image" Target="media/image1.png"/><Relationship Id="rId8" Type="http://schemas.openxmlformats.org/officeDocument/2006/relationships/footer" Target="footer2.xml"/><Relationship Id="rIdWahs63" Type="http://schemas.openxmlformats.org/officeDocument/2006/relationships/hyperlink" Target="https://uwdigi.atlassian.net/wiki/spaces/WAIPS/pages/1588658206/2026-08-24+EHI+Meeting+notes" TargetMode="External"/><Relationship Id="rIdWahs64" Type="http://schemas.openxmlformats.org/officeDocument/2006/relationships/hyperlink" Target="https://github.com/pmanko/med-agent-hub/blob/939720e4f52adec8f2fd573157a049afc1656654/server/context_sources.py#L150" TargetMode="External"/><Relationship Id="rIdWahs65" Type="http://schemas.openxmlformats.org/officeDocument/2006/relationships/hyperlink" Target="https://build.fhir.org/ig/HL7/aitransparency-ig/branches/main/en/requirements.html" TargetMode="External"/><Relationship Id="rIdWahs66" Type="http://schemas.openxmlformats.org/officeDocument/2006/relationships/hyperlink" Target="https://github.com/pmanko/digging-in-research/blob/main/research-site/content/07-dissertation-scope.md" TargetMode="External"/><Relationship Id="rIdWahs68" Type="http://schemas.openxmlformats.org/officeDocument/2006/relationships/hyperlink" Target="https://wahs.openclinai.org/#evidenc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